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tabs>
          <w:tab w:val="center" w:leader="none" w:pos="4536"/>
          <w:tab w:val="right" w:leader="none" w:pos="9072"/>
        </w:tabs>
        <w:spacing w:after="0" w:line="168.0002608695652" w:lineRule="auto"/>
        <w:jc w:val="center"/>
        <w:rPr/>
      </w:pPr>
      <w:bookmarkStart w:colFirst="0" w:colLast="0" w:name="_heading=h.z6j051romv3q" w:id="0"/>
      <w:bookmarkEnd w:id="0"/>
      <w:r w:rsidDel="00000000" w:rsidR="00000000" w:rsidRPr="00000000">
        <w:rPr>
          <w:color w:val="365f91"/>
          <w:sz w:val="22"/>
          <w:szCs w:val="22"/>
        </w:rPr>
        <w:drawing>
          <wp:inline distB="114300" distT="114300" distL="114300" distR="114300">
            <wp:extent cx="2192175" cy="781788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2175" cy="781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line="168.0002608695652" w:lineRule="auto"/>
        <w:jc w:val="center"/>
        <w:rPr>
          <w:color w:val="365f91"/>
          <w:sz w:val="22"/>
          <w:szCs w:val="22"/>
        </w:rPr>
      </w:pPr>
      <w:bookmarkStart w:colFirst="0" w:colLast="0" w:name="_heading=h.24rf76998hcs" w:id="1"/>
      <w:bookmarkEnd w:id="1"/>
      <w:r w:rsidDel="00000000" w:rsidR="00000000" w:rsidRPr="00000000">
        <w:rPr>
          <w:color w:val="365f91"/>
          <w:sz w:val="22"/>
          <w:szCs w:val="22"/>
          <w:rtl w:val="0"/>
        </w:rPr>
        <w:t xml:space="preserve">R</w:t>
      </w:r>
      <w:r w:rsidDel="00000000" w:rsidR="00000000" w:rsidRPr="00000000">
        <w:rPr>
          <w:color w:val="365f91"/>
          <w:sz w:val="22"/>
          <w:szCs w:val="22"/>
          <w:rtl w:val="0"/>
        </w:rPr>
        <w:t xml:space="preserve">EGULAMIN SZCZEGÓŁOWY</w:t>
      </w:r>
    </w:p>
    <w:p w:rsidR="00000000" w:rsidDel="00000000" w:rsidP="00000000" w:rsidRDefault="00000000" w:rsidRPr="00000000" w14:paraId="00000003">
      <w:pPr>
        <w:spacing w:after="200"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NABORU, REALIZACJI I ROZLICZANIA PRAC B+R  W INSTYTUCIE GENETYKI CZŁOWIEKA PAN</w:t>
        <w:br w:type="textWrapping"/>
        <w:t xml:space="preserve">w Zadaniu „Inkubator Rozwoju” projektu „Science4Business – Nauka dla Biznesu” (FENG)</w:t>
      </w:r>
    </w:p>
    <w:p w:rsidR="00000000" w:rsidDel="00000000" w:rsidP="00000000" w:rsidRDefault="00000000" w:rsidRPr="00000000" w14:paraId="00000004">
      <w:pPr>
        <w:spacing w:after="200"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2"/>
        <w:spacing w:after="0" w:before="200" w:line="211.05847058823528" w:lineRule="auto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e6mu041hj6kj" w:id="2"/>
      <w:bookmarkEnd w:id="2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§1. Postanowienia ogólne</w:t>
      </w:r>
    </w:p>
    <w:p w:rsidR="00000000" w:rsidDel="00000000" w:rsidP="00000000" w:rsidRDefault="00000000" w:rsidRPr="00000000" w14:paraId="00000006">
      <w:pPr>
        <w:spacing w:after="200" w:line="276.000545454545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0" w:line="276.0005454545455" w:lineRule="auto"/>
        <w:jc w:val="both"/>
        <w:rPr/>
      </w:pPr>
      <w:r w:rsidDel="00000000" w:rsidR="00000000" w:rsidRPr="00000000">
        <w:rPr>
          <w:rtl w:val="0"/>
        </w:rPr>
        <w:t xml:space="preserve">Regulamin określa zasady naboru, realizacji i rozliczania Minigrantów B+R w IGC PAN w ramach Zadania „Inkubator Rozwoju” projektu Science4Business – Nauka dla Biznesu, zgodnie z §2 Regulaminu Ramowego. Postanowienia niniejszego regulaminu uzupełniają Regulamin Ramowy i określają wewnętrzne procedury obowiązujące w IGC PAN.</w:t>
      </w:r>
    </w:p>
    <w:p w:rsidR="00000000" w:rsidDel="00000000" w:rsidP="00000000" w:rsidRDefault="00000000" w:rsidRPr="00000000" w14:paraId="00000008">
      <w:pPr>
        <w:pStyle w:val="Heading2"/>
        <w:spacing w:after="0" w:line="211.05847058823528" w:lineRule="auto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ba2c8ipits5f" w:id="3"/>
      <w:bookmarkEnd w:id="3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§2. Tryb naboru i składania aplikacji grantowych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line="240" w:lineRule="auto"/>
        <w:ind w:left="425.19685039370086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Aplikacje składane są do </w:t>
      </w:r>
      <w:r w:rsidDel="00000000" w:rsidR="00000000" w:rsidRPr="00000000">
        <w:rPr>
          <w:b w:val="1"/>
          <w:bCs w:val="1"/>
          <w:rtl w:val="0"/>
        </w:rPr>
        <w:t xml:space="preserve">Centrum Transferu Technologii (CTT)</w:t>
      </w:r>
      <w:r w:rsidDel="00000000" w:rsidR="00000000" w:rsidRPr="00000000">
        <w:rPr>
          <w:rtl w:val="0"/>
        </w:rPr>
        <w:t xml:space="preserve"> IGC PAN na adres </w:t>
      </w:r>
      <w:r w:rsidDel="00000000" w:rsidR="00000000" w:rsidRPr="00000000">
        <w:rPr>
          <w:b w:val="1"/>
          <w:bCs w:val="1"/>
          <w:rtl w:val="0"/>
        </w:rPr>
        <w:t xml:space="preserve">grantoffice@igcz.poznan.pl</w:t>
      </w:r>
      <w:r w:rsidDel="00000000" w:rsidR="00000000" w:rsidRPr="00000000">
        <w:rPr>
          <w:rtl w:val="0"/>
        </w:rPr>
        <w:t xml:space="preserve"> (zgodnie z §5 ust.2–3 Regulaminu Ramowego).</w:t>
        <w:br w:type="textWrapping"/>
        <w:t xml:space="preserve">Wnioski powinny być składane w formie </w:t>
      </w:r>
      <w:r w:rsidDel="00000000" w:rsidR="00000000" w:rsidRPr="00000000">
        <w:rPr>
          <w:b w:val="1"/>
          <w:bCs w:val="1"/>
          <w:rtl w:val="0"/>
        </w:rPr>
        <w:t xml:space="preserve">PDF podpisanego kwalifikowanym podpisem elektronicznym lub Profilem Zaufanym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00" w:line="240" w:lineRule="auto"/>
        <w:ind w:left="425.19685039370086" w:hanging="360"/>
        <w:jc w:val="both"/>
        <w:rPr/>
      </w:pPr>
      <w:r w:rsidDel="00000000" w:rsidR="00000000" w:rsidRPr="00000000">
        <w:rPr>
          <w:rtl w:val="0"/>
        </w:rPr>
        <w:t xml:space="preserve">2.   Nabory odbywają się zgodnie z harmonogramem ogłoszonym na stronie internetowej </w:t>
      </w:r>
      <w:r w:rsidDel="00000000" w:rsidR="00000000" w:rsidRPr="00000000">
        <w:rPr>
          <w:rtl w:val="0"/>
        </w:rPr>
        <w:t xml:space="preserve">IGC PAN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00" w:line="240" w:lineRule="auto"/>
        <w:ind w:left="425.19685039370086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  <w:tab/>
        <w:t xml:space="preserve">Maksymalny b</w:t>
      </w:r>
      <w:r w:rsidDel="00000000" w:rsidR="00000000" w:rsidRPr="00000000">
        <w:rPr>
          <w:rtl w:val="0"/>
        </w:rPr>
        <w:t xml:space="preserve">udżet Minigrantu wynosi do </w:t>
      </w:r>
      <w:r w:rsidDel="00000000" w:rsidR="00000000" w:rsidRPr="00000000">
        <w:rPr>
          <w:b w:val="1"/>
          <w:bCs w:val="1"/>
          <w:rtl w:val="0"/>
        </w:rPr>
        <w:t xml:space="preserve">300 000 PLN</w:t>
      </w:r>
      <w:r w:rsidDel="00000000" w:rsidR="00000000" w:rsidRPr="00000000">
        <w:rPr>
          <w:rtl w:val="0"/>
        </w:rPr>
        <w:t xml:space="preserve">, z możliwością zwiększenia decyzją </w:t>
      </w:r>
      <w:r w:rsidDel="00000000" w:rsidR="00000000" w:rsidRPr="00000000">
        <w:rPr>
          <w:b w:val="1"/>
          <w:bCs w:val="1"/>
          <w:rtl w:val="0"/>
        </w:rPr>
        <w:t xml:space="preserve">Komitetu Inwestycyjnego</w:t>
      </w:r>
      <w:r w:rsidDel="00000000" w:rsidR="00000000" w:rsidRPr="00000000">
        <w:rPr>
          <w:rtl w:val="0"/>
        </w:rPr>
        <w:t xml:space="preserve"> (§3 ust.5 Regulaminu Ramowego).</w:t>
      </w:r>
    </w:p>
    <w:p w:rsidR="00000000" w:rsidDel="00000000" w:rsidP="00000000" w:rsidRDefault="00000000" w:rsidRPr="00000000" w14:paraId="0000000D">
      <w:pPr>
        <w:spacing w:after="100" w:line="240" w:lineRule="auto"/>
        <w:ind w:left="425.19685039370086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Aplikacja oprócz Formularza Wniosku powinna zawierać:</w:t>
      </w:r>
    </w:p>
    <w:p w:rsidR="00000000" w:rsidDel="00000000" w:rsidP="00000000" w:rsidRDefault="00000000" w:rsidRPr="00000000" w14:paraId="0000000E">
      <w:pPr>
        <w:spacing w:after="100" w:line="240" w:lineRule="auto"/>
        <w:ind w:left="425.19685039370086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P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b w:val="1"/>
          <w:bCs w:val="1"/>
          <w:rtl w:val="0"/>
        </w:rPr>
        <w:t xml:space="preserve">an badań</w:t>
      </w:r>
      <w:r w:rsidDel="00000000" w:rsidR="00000000" w:rsidRPr="00000000">
        <w:rPr>
          <w:rtl w:val="0"/>
        </w:rPr>
        <w:t xml:space="preserve"> przygotowany w formie diagramu Gantta, obejmujący zadania oraz kamienie milowe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line="240" w:lineRule="auto"/>
        <w:ind w:left="425.19685039370086" w:firstLine="0"/>
        <w:jc w:val="both"/>
        <w:rPr/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Planowane do osiągnięcia, dzięki realizacji Minigrantu, wskaźniki projektu </w:t>
      </w:r>
      <w:r w:rsidDel="00000000" w:rsidR="00000000" w:rsidRPr="00000000">
        <w:rPr>
          <w:b w:val="1"/>
          <w:bCs w:val="1"/>
          <w:rtl w:val="0"/>
        </w:rPr>
        <w:t xml:space="preserve">S4B</w:t>
      </w:r>
      <w:r w:rsidDel="00000000" w:rsidR="00000000" w:rsidRPr="00000000">
        <w:rPr>
          <w:rtl w:val="0"/>
        </w:rPr>
        <w:t xml:space="preserve"> (np. zgłoszenie patentowe, utworzenie spółki spin-off, opracowanie usługi, uzyskany </w:t>
      </w:r>
      <w:r w:rsidDel="00000000" w:rsidR="00000000" w:rsidRPr="00000000">
        <w:rPr>
          <w:rtl w:val="0"/>
        </w:rPr>
        <w:t xml:space="preserve">przychód</w:t>
      </w:r>
      <w:r w:rsidDel="00000000" w:rsidR="00000000" w:rsidRPr="00000000">
        <w:rPr>
          <w:rtl w:val="0"/>
        </w:rPr>
        <w:t xml:space="preserve">, wskaźnik 6R)</w:t>
      </w:r>
    </w:p>
    <w:p w:rsidR="00000000" w:rsidDel="00000000" w:rsidP="00000000" w:rsidRDefault="00000000" w:rsidRPr="00000000" w14:paraId="00000010">
      <w:pPr>
        <w:spacing w:after="100" w:line="240" w:lineRule="auto"/>
        <w:ind w:left="425.1968503937008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0" w:before="200" w:line="211.05847058823528" w:lineRule="auto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mu6v4dko4d68" w:id="4"/>
      <w:bookmarkEnd w:id="4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§3. Przeznaczenie wsparcia </w:t>
      </w:r>
    </w:p>
    <w:p w:rsidR="00000000" w:rsidDel="00000000" w:rsidP="00000000" w:rsidRDefault="00000000" w:rsidRPr="00000000" w14:paraId="00000012">
      <w:pPr>
        <w:pStyle w:val="Heading2"/>
        <w:spacing w:after="0" w:before="200" w:line="211.05847058823528" w:lineRule="auto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bookmarkStart w:colFirst="0" w:colLast="0" w:name="_heading=h.oeoqhppwxsmg" w:id="5"/>
      <w:bookmarkEnd w:id="5"/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Środki finansowe udzielane w ramach Zadania służą pokryciu kosztów realizacji Prac przedwdrożeniowych, o których mowa w niniejszym regulaminie i obejmują:</w:t>
      </w:r>
    </w:p>
    <w:p w:rsidR="00000000" w:rsidDel="00000000" w:rsidP="00000000" w:rsidRDefault="00000000" w:rsidRPr="00000000" w14:paraId="00000013">
      <w:pPr>
        <w:pStyle w:val="Heading2"/>
        <w:spacing w:after="0" w:before="200" w:line="211.05847058823528" w:lineRule="auto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bookmarkStart w:colFirst="0" w:colLast="0" w:name="_heading=h.fei5kcuulbpl" w:id="6"/>
      <w:bookmarkEnd w:id="6"/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 prace w zakresie podnoszenia gotowości technologicznej - stworzenie lub udoskonalenie, (w tym design) prototypu, testy laboratoryjne, badania na zgodność z normą (certyfikacja), demonstracja w warunkach zbliżonych do rzeczywistych, dostosowanie wynalazku do potrzeb zainteresowanego nabywcy, rynku,</w:t>
      </w:r>
    </w:p>
    <w:p w:rsidR="00000000" w:rsidDel="00000000" w:rsidP="00000000" w:rsidRDefault="00000000" w:rsidRPr="00000000" w14:paraId="00000014">
      <w:pPr>
        <w:pStyle w:val="Heading2"/>
        <w:spacing w:after="0" w:before="200" w:line="211.05847058823528" w:lineRule="auto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bookmarkStart w:colFirst="0" w:colLast="0" w:name="_heading=h.d9b4m665ebfx" w:id="7"/>
      <w:bookmarkEnd w:id="7"/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 prace w zakresie podnoszenia gotowości ekonomicznej - przygotowywanie projektów komercjalizacji wyselekcjonowanych wyników badań, w tym np.: analiza potencjału rynkowego, analiza zastosowań technologii, analiza innowacyjności i korzyści ze stosowania technologii, analiza poziomu gotowości wdrożeniowej zgodna z BRL (Poziom Gotowości Biznesowej) oraz TRL (Poziom Gotowości Technologicznej), analiza barier wejścia na rynek i rozwiązań konkurencyjnych, status własności intelektualnej, identyfikacja docelowych branż i potencjalnych nabywców technologii, wycena;</w:t>
      </w:r>
    </w:p>
    <w:p w:rsidR="00000000" w:rsidDel="00000000" w:rsidP="00000000" w:rsidRDefault="00000000" w:rsidRPr="00000000" w14:paraId="00000015">
      <w:pPr>
        <w:pStyle w:val="Heading2"/>
        <w:spacing w:after="0" w:before="200" w:line="211.05847058823528" w:lineRule="auto"/>
        <w:rPr>
          <w:rFonts w:ascii="Calibri" w:cs="Calibri" w:eastAsia="Calibri" w:hAnsi="Calibri"/>
          <w:b w:val="0"/>
          <w:bCs w:val="0"/>
          <w:sz w:val="22"/>
          <w:szCs w:val="22"/>
        </w:rPr>
      </w:pPr>
      <w:bookmarkStart w:colFirst="0" w:colLast="0" w:name="_heading=h.k2foumq4pctv" w:id="8"/>
      <w:bookmarkEnd w:id="8"/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Dofinansowanie może być przeznaczone w szczególności na: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koszty </w:t>
      </w:r>
      <w:r w:rsidDel="00000000" w:rsidR="00000000" w:rsidRPr="00000000">
        <w:rPr>
          <w:rtl w:val="0"/>
        </w:rPr>
        <w:t xml:space="preserve">wynagrodzeń</w:t>
      </w:r>
      <w:r w:rsidDel="00000000" w:rsidR="00000000" w:rsidRPr="00000000">
        <w:rPr>
          <w:rtl w:val="0"/>
        </w:rPr>
        <w:t xml:space="preserve"> osób realizujących </w:t>
      </w:r>
      <w:r w:rsidDel="00000000" w:rsidR="00000000" w:rsidRPr="00000000">
        <w:rPr>
          <w:rtl w:val="0"/>
        </w:rPr>
        <w:t xml:space="preserve">Prace</w:t>
      </w:r>
      <w:r w:rsidDel="00000000" w:rsidR="00000000" w:rsidRPr="00000000">
        <w:rPr>
          <w:rtl w:val="0"/>
        </w:rPr>
        <w:t xml:space="preserve"> przedwdrożeniowe (wynagrodzenia etatowe lub dodatkowe umowy zlecenia zgodnie z wewnętrznymi przepisami jednostek i regulaminami szczegółowymi) – rozliczane na podstawie </w:t>
      </w:r>
      <w:r w:rsidDel="00000000" w:rsidR="00000000" w:rsidRPr="00000000">
        <w:rPr>
          <w:rtl w:val="0"/>
        </w:rPr>
        <w:t xml:space="preserve">stawek jednostkowych za roboczogodzinę</w:t>
      </w:r>
      <w:r w:rsidDel="00000000" w:rsidR="00000000" w:rsidRPr="00000000">
        <w:rPr>
          <w:rtl w:val="0"/>
        </w:rPr>
        <w:t xml:space="preserve"> określonych we wniosku o dofinansowanie Projektu (metodologia uproszczona zgodnie z wytycznymi FENG).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koszty </w:t>
      </w:r>
      <w:r w:rsidDel="00000000" w:rsidR="00000000" w:rsidRPr="00000000">
        <w:rPr>
          <w:rtl w:val="0"/>
        </w:rPr>
        <w:t xml:space="preserve">materiałów, surowców, odczynników i </w:t>
      </w:r>
      <w:r w:rsidDel="00000000" w:rsidR="00000000" w:rsidRPr="00000000">
        <w:rPr>
          <w:rtl w:val="0"/>
        </w:rPr>
        <w:t xml:space="preserve">drobnego sprzętu laboratoryjnego</w:t>
      </w:r>
      <w:r w:rsidDel="00000000" w:rsidR="00000000" w:rsidRPr="00000000">
        <w:rPr>
          <w:rtl w:val="0"/>
        </w:rPr>
        <w:t xml:space="preserve"> niespełniającego definicji środka trwałego zgodnie z ustawą o rachunkowości i przyjętą w Instytucie polityką rachunkowości</w:t>
      </w:r>
      <w:r w:rsidDel="00000000" w:rsidR="00000000" w:rsidRPr="00000000">
        <w:rPr>
          <w:rtl w:val="0"/>
        </w:rPr>
        <w:t xml:space="preserve"> niezbędnych do przeprowadzenia badań i testów w ramach Prac przedwdrożeniowych, nieprzekraczające 70% pozostałych wydatków bezpośrednich;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koszty zleconych </w:t>
      </w:r>
      <w:r w:rsidDel="00000000" w:rsidR="00000000" w:rsidRPr="00000000">
        <w:rPr>
          <w:rtl w:val="0"/>
        </w:rPr>
        <w:t xml:space="preserve">usług badawczych, analiz, testów, certyfikacji</w:t>
      </w:r>
      <w:r w:rsidDel="00000000" w:rsidR="00000000" w:rsidRPr="00000000">
        <w:rPr>
          <w:rtl w:val="0"/>
        </w:rPr>
        <w:t xml:space="preserve"> itp. wykonywanych przez podmioty zewnętrzne w zakresie koniecznym dla realizacji projektu (np. specjalistyczne badania właściwości, wykonanie serii prototypowej, ekspertyzy rynkowe), z zastrzeżeniem niedozwolone jest zlecanie wykonania jakichkolwiek usług podmiotom zaangażowanym w realizację Projektu, wskazanym w Załączniku nr 6 do Regulaminu Ramowego.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koszty </w:t>
      </w:r>
      <w:r w:rsidDel="00000000" w:rsidR="00000000" w:rsidRPr="00000000">
        <w:rPr>
          <w:rtl w:val="0"/>
        </w:rPr>
        <w:t xml:space="preserve">ochrony własności intelektualnej</w:t>
      </w:r>
      <w:r w:rsidDel="00000000" w:rsidR="00000000" w:rsidRPr="00000000">
        <w:rPr>
          <w:rtl w:val="0"/>
        </w:rPr>
        <w:t xml:space="preserve"> (zgłoszenia patentowe, opłaty urzędowe związane z uzyskaniem ochrony, analiza zdolności patentowej) dotyczące rozwijanego rozwiązania;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koszty </w:t>
      </w:r>
      <w:r w:rsidDel="00000000" w:rsidR="00000000" w:rsidRPr="00000000">
        <w:rPr>
          <w:rtl w:val="0"/>
        </w:rPr>
        <w:t xml:space="preserve">udziału w targach, konferencjach i misjach gospodarczych;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koszty </w:t>
      </w:r>
      <w:r w:rsidDel="00000000" w:rsidR="00000000" w:rsidRPr="00000000">
        <w:rPr>
          <w:rtl w:val="0"/>
        </w:rPr>
        <w:t xml:space="preserve">wyceny technologii, analizy rynku, opracowania strategii komercjalizacji lub biznesplanu</w:t>
      </w:r>
      <w:r w:rsidDel="00000000" w:rsidR="00000000" w:rsidRPr="00000000">
        <w:rPr>
          <w:rtl w:val="0"/>
        </w:rPr>
        <w:t xml:space="preserve"> dla wyników projektu;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inne koszty operacyjne</w:t>
      </w:r>
      <w:r w:rsidDel="00000000" w:rsidR="00000000" w:rsidRPr="00000000">
        <w:rPr>
          <w:rtl w:val="0"/>
        </w:rPr>
        <w:t xml:space="preserve"> bezpośrednio związane z realizacją projektu i niezbędne do osiągnięcia jego celów (np. koszty drobnych napraw lub modyfikacji urządzeń prototypowych, koszty uczestnictwa w targach lub prezentacji technologii potencjalnym inwestorom – o ile przewidziane w planie prac itp.).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0" w:before="200" w:line="211.05847058823528" w:lineRule="auto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t3nz5knig5iz" w:id="9"/>
      <w:bookmarkEnd w:id="9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§4. Zasady realizacji projektu w IGC PAN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.0005454545455" w:lineRule="auto"/>
        <w:ind w:left="780" w:hanging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Wszystkie zakupy realizowane są wyłącznie poprzez system zamówień wewnętrznych IGC PAN (Intranet) z wykorzystaniem ustalonej ścieżki akceptacji oraz obowiązującymi regulaminami dot. zamówień publicznych. Zakupy  są prowadzone przez</w:t>
      </w:r>
      <w:r w:rsidDel="00000000" w:rsidR="00000000" w:rsidRPr="00000000">
        <w:rPr>
          <w:b w:val="1"/>
          <w:bCs w:val="1"/>
          <w:rtl w:val="0"/>
        </w:rPr>
        <w:t xml:space="preserve"> Dział Zamówień.</w:t>
      </w:r>
    </w:p>
    <w:p w:rsidR="00000000" w:rsidDel="00000000" w:rsidP="00000000" w:rsidRDefault="00000000" w:rsidRPr="00000000" w14:paraId="00000022">
      <w:pPr>
        <w:spacing w:after="0" w:line="276.0005454545455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Rozliczenia finansowe prowadzi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Dział Finansowo-Księgowy </w:t>
      </w:r>
      <w:r w:rsidDel="00000000" w:rsidR="00000000" w:rsidRPr="00000000">
        <w:rPr>
          <w:rtl w:val="0"/>
        </w:rPr>
        <w:t xml:space="preserve">, który:</w:t>
      </w:r>
    </w:p>
    <w:p w:rsidR="00000000" w:rsidDel="00000000" w:rsidP="00000000" w:rsidRDefault="00000000" w:rsidRPr="00000000" w14:paraId="00000023">
      <w:pPr>
        <w:spacing w:after="0" w:line="276.0005454545455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zabezpiecza środki finansowe na podstawie wartości dofinansowania wynikającego </w:t>
      </w:r>
      <w:r w:rsidDel="00000000" w:rsidR="00000000" w:rsidRPr="00000000">
        <w:rPr>
          <w:rtl w:val="0"/>
        </w:rPr>
        <w:t xml:space="preserve"> z podpisanej umowy i przyznanego budżetu,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.0005454545455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realizuje płatności</w:t>
      </w:r>
      <w:r w:rsidDel="00000000" w:rsidR="00000000" w:rsidRPr="00000000">
        <w:rPr>
          <w:b w:val="1"/>
          <w:bCs w:val="1"/>
          <w:rtl w:val="0"/>
        </w:rPr>
        <w:t xml:space="preserve"> i księguje dokumenty</w:t>
      </w:r>
      <w:r w:rsidDel="00000000" w:rsidR="00000000" w:rsidRPr="00000000">
        <w:rPr>
          <w:rtl w:val="0"/>
        </w:rPr>
        <w:t xml:space="preserve"> zgodnie z obowiązującymi</w:t>
      </w:r>
      <w:r w:rsidDel="00000000" w:rsidR="00000000" w:rsidRPr="00000000">
        <w:rPr>
          <w:rtl w:val="0"/>
        </w:rPr>
        <w:t xml:space="preserve"> zasadami obiegu dokumentów w IGC PAN,</w:t>
      </w:r>
    </w:p>
    <w:p w:rsidR="00000000" w:rsidDel="00000000" w:rsidP="00000000" w:rsidRDefault="00000000" w:rsidRPr="00000000" w14:paraId="00000025">
      <w:pPr>
        <w:spacing w:after="0" w:line="276.0005454545455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prowadzi ewidencję wydatków  na wyodrębnionych kontach księgowych na podstawie zaakceptowanych dokumentów kosztowych, zgodnie z obiegiem dokumentów w IGC</w:t>
      </w:r>
      <w:r w:rsidDel="00000000" w:rsidR="00000000" w:rsidRPr="00000000">
        <w:rPr>
          <w:rtl w:val="0"/>
        </w:rPr>
        <w:t xml:space="preserve"> w odniesieniu do zaakceptowanego kosztorysu projektu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6">
      <w:pPr>
        <w:spacing w:after="0" w:line="276.0005454545455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przygotowuje okresowe zestawienia poniesionych kosztów</w:t>
      </w:r>
      <w:r w:rsidDel="00000000" w:rsidR="00000000" w:rsidRPr="00000000">
        <w:rPr>
          <w:rtl w:val="0"/>
        </w:rPr>
        <w:t xml:space="preserve"> oraz końcowe</w:t>
      </w:r>
      <w:r w:rsidDel="00000000" w:rsidR="00000000" w:rsidRPr="00000000">
        <w:rPr>
          <w:rtl w:val="0"/>
        </w:rPr>
        <w:t xml:space="preserve"> zestawienie kosztów projektu, które przekazywane jest Kierownikowi Projektu, Biura koordynacji Badań i Centrum Transferu Technologii (CTT) do weryfikacji i zatwierdzenia.</w:t>
      </w:r>
    </w:p>
    <w:p w:rsidR="00000000" w:rsidDel="00000000" w:rsidP="00000000" w:rsidRDefault="00000000" w:rsidRPr="00000000" w14:paraId="00000027">
      <w:pPr>
        <w:spacing w:after="0" w:line="276.0005454545455" w:lineRule="auto"/>
        <w:ind w:left="780" w:hanging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Zmiany w projekcie:</w:t>
      </w:r>
    </w:p>
    <w:p w:rsidR="00000000" w:rsidDel="00000000" w:rsidP="00000000" w:rsidRDefault="00000000" w:rsidRPr="00000000" w14:paraId="00000028">
      <w:pPr>
        <w:spacing w:after="0" w:line="276.0005454545455" w:lineRule="auto"/>
        <w:ind w:left="122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Znaczące zmiany obejmujące m.in.:</w:t>
      </w:r>
    </w:p>
    <w:p w:rsidR="00000000" w:rsidDel="00000000" w:rsidP="00000000" w:rsidRDefault="00000000" w:rsidRPr="00000000" w14:paraId="00000029">
      <w:pPr>
        <w:spacing w:after="0" w:line="276.0005454545455" w:lineRule="auto"/>
        <w:ind w:left="1180" w:hanging="40"/>
        <w:jc w:val="both"/>
        <w:rPr/>
      </w:pPr>
      <w:r w:rsidDel="00000000" w:rsidR="00000000" w:rsidRPr="00000000">
        <w:rPr>
          <w:rtl w:val="0"/>
        </w:rPr>
        <w:t xml:space="preserve">                 </w:t>
        <w:tab/>
      </w: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modyfikację celów lub zakresu badań</w:t>
      </w:r>
    </w:p>
    <w:p w:rsidR="00000000" w:rsidDel="00000000" w:rsidP="00000000" w:rsidRDefault="00000000" w:rsidRPr="00000000" w14:paraId="0000002A">
      <w:pPr>
        <w:spacing w:after="0" w:line="276.0005454545455" w:lineRule="auto"/>
        <w:ind w:left="1180" w:hanging="40"/>
        <w:jc w:val="both"/>
        <w:rPr/>
      </w:pPr>
      <w:r w:rsidDel="00000000" w:rsidR="00000000" w:rsidRPr="00000000">
        <w:rPr>
          <w:rtl w:val="0"/>
        </w:rPr>
        <w:t xml:space="preserve">                </w:t>
        <w:tab/>
      </w:r>
      <w:r w:rsidDel="00000000" w:rsidR="00000000" w:rsidRPr="00000000">
        <w:rPr>
          <w:rtl w:val="0"/>
        </w:rPr>
        <w:t xml:space="preserve">ii.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przesunięcie środków między kategoriami kosztów o więcej niż 20% wartości zadania,</w:t>
      </w:r>
    </w:p>
    <w:p w:rsidR="00000000" w:rsidDel="00000000" w:rsidP="00000000" w:rsidRDefault="00000000" w:rsidRPr="00000000" w14:paraId="0000002B">
      <w:pPr>
        <w:spacing w:after="0" w:line="276.0005454545455" w:lineRule="auto"/>
        <w:ind w:left="1180" w:hanging="40"/>
        <w:jc w:val="both"/>
        <w:rPr/>
      </w:pPr>
      <w:r w:rsidDel="00000000" w:rsidR="00000000" w:rsidRPr="00000000">
        <w:rPr>
          <w:rtl w:val="0"/>
        </w:rPr>
        <w:t xml:space="preserve">              </w:t>
        <w:tab/>
      </w:r>
      <w:r w:rsidDel="00000000" w:rsidR="00000000" w:rsidRPr="00000000">
        <w:rPr>
          <w:rtl w:val="0"/>
        </w:rPr>
        <w:t xml:space="preserve">iii.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zmianę harmonogramu realizacji zadań powyżej 90 dni,</w:t>
      </w:r>
    </w:p>
    <w:p w:rsidR="00000000" w:rsidDel="00000000" w:rsidP="00000000" w:rsidRDefault="00000000" w:rsidRPr="00000000" w14:paraId="0000002C">
      <w:pPr>
        <w:spacing w:after="0" w:line="276.0005454545455" w:lineRule="auto"/>
        <w:ind w:left="1180" w:hanging="40"/>
        <w:jc w:val="both"/>
        <w:rPr/>
      </w:pPr>
      <w:r w:rsidDel="00000000" w:rsidR="00000000" w:rsidRPr="00000000">
        <w:rPr>
          <w:rtl w:val="0"/>
        </w:rPr>
        <w:t xml:space="preserve">               </w:t>
        <w:tab/>
      </w:r>
      <w:r w:rsidDel="00000000" w:rsidR="00000000" w:rsidRPr="00000000">
        <w:rPr>
          <w:rtl w:val="0"/>
        </w:rPr>
        <w:t xml:space="preserve">iv.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zmianę kierownika lub kluczowych członków zespołu,</w:t>
      </w:r>
    </w:p>
    <w:p w:rsidR="00000000" w:rsidDel="00000000" w:rsidP="00000000" w:rsidRDefault="00000000" w:rsidRPr="00000000" w14:paraId="0000002D">
      <w:pPr>
        <w:spacing w:after="0" w:line="276.0005454545455" w:lineRule="auto"/>
        <w:ind w:left="1180" w:hanging="40"/>
        <w:jc w:val="both"/>
        <w:rPr/>
      </w:pPr>
      <w:r w:rsidDel="00000000" w:rsidR="00000000" w:rsidRPr="00000000">
        <w:rPr>
          <w:rtl w:val="0"/>
        </w:rPr>
        <w:t xml:space="preserve">               </w:t>
        <w:tab/>
      </w:r>
      <w:r w:rsidDel="00000000" w:rsidR="00000000" w:rsidRPr="00000000">
        <w:rPr>
          <w:rtl w:val="0"/>
        </w:rPr>
        <w:t xml:space="preserve">v.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dodanie lub usunięcie zadań z planu badań, muszą być zgłaszane na </w:t>
      </w:r>
      <w:r w:rsidDel="00000000" w:rsidR="00000000" w:rsidRPr="00000000">
        <w:rPr>
          <w:b w:val="1"/>
          <w:bCs w:val="1"/>
          <w:rtl w:val="0"/>
        </w:rPr>
        <w:t xml:space="preserve">Formularzu Zmian </w:t>
      </w:r>
      <w:r w:rsidDel="00000000" w:rsidR="00000000" w:rsidRPr="00000000">
        <w:rPr>
          <w:rtl w:val="0"/>
        </w:rPr>
        <w:t xml:space="preserve">(załącznik 1).</w:t>
      </w:r>
    </w:p>
    <w:p w:rsidR="00000000" w:rsidDel="00000000" w:rsidP="00000000" w:rsidRDefault="00000000" w:rsidRPr="00000000" w14:paraId="0000002E">
      <w:pPr>
        <w:spacing w:after="0" w:line="276.0005454545455" w:lineRule="auto"/>
        <w:ind w:left="122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Formularz Zmian powinien zawierać zestawienie pierwotnych założeń, nowe propozycje oraz uzasadnienie merytoryczne dla wprowadzonych modyfikacji.</w:t>
      </w:r>
    </w:p>
    <w:p w:rsidR="00000000" w:rsidDel="00000000" w:rsidP="00000000" w:rsidRDefault="00000000" w:rsidRPr="00000000" w14:paraId="0000002F">
      <w:pPr>
        <w:keepLines w:val="1"/>
        <w:spacing w:after="0" w:line="276.0005454545455" w:lineRule="auto"/>
        <w:ind w:left="1220" w:hanging="360"/>
        <w:jc w:val="both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Formularz przekazywany jest do Biura Koordynacji Badań, które we współpracy z  CTT zatwierdza zmiany. W przypadku zmian istotnych, o których mowa w §8 Regulaminu Ramowego, wymagane jest uzyskanie zgody Komitetu Inwestycyjnego. </w:t>
      </w:r>
    </w:p>
    <w:p w:rsidR="00000000" w:rsidDel="00000000" w:rsidP="00000000" w:rsidRDefault="00000000" w:rsidRPr="00000000" w14:paraId="00000030">
      <w:pPr>
        <w:keepLines w:val="1"/>
        <w:spacing w:after="0" w:line="276.0005454545455" w:lineRule="auto"/>
        <w:ind w:left="1220" w:hanging="360"/>
        <w:jc w:val="both"/>
        <w:rPr/>
      </w:pPr>
      <w:r w:rsidDel="00000000" w:rsidR="00000000" w:rsidRPr="00000000">
        <w:rPr>
          <w:rtl w:val="0"/>
        </w:rPr>
        <w:t xml:space="preserve">d. Formularz Zmian stanowi załącznik do dokumentacji projektowej (§8 ust. 9 Regulaminu Ramowego).</w:t>
      </w:r>
    </w:p>
    <w:p w:rsidR="00000000" w:rsidDel="00000000" w:rsidP="00000000" w:rsidRDefault="00000000" w:rsidRPr="00000000" w14:paraId="00000031">
      <w:pPr>
        <w:pStyle w:val="Heading2"/>
        <w:spacing w:after="0" w:before="200" w:line="211.05847058823528" w:lineRule="auto"/>
        <w:ind w:left="420" w:firstLine="0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6k8dhsw8t4bb" w:id="10"/>
      <w:bookmarkEnd w:id="10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§5. Raportowanie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.0005454545455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Raporty merytoryczne przekazywane są do Biura Koordynacji Badań (grantoffice@igcz.poznan.pl) miesięcznie, wraz z kartami pracy w formacie zgodnym z Załącznikiem 2 i Załącznikiem 3 do niniejszego regulaminu.</w:t>
      </w:r>
    </w:p>
    <w:p w:rsidR="00000000" w:rsidDel="00000000" w:rsidP="00000000" w:rsidRDefault="00000000" w:rsidRPr="00000000" w14:paraId="00000034">
      <w:pPr>
        <w:spacing w:after="0" w:line="276.0005454545455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Raport końcowy zawiera opis postępów i składany jest w formacie zgodnym z </w:t>
      </w:r>
      <w:r w:rsidDel="00000000" w:rsidR="00000000" w:rsidRPr="00000000">
        <w:rPr>
          <w:rtl w:val="0"/>
        </w:rPr>
        <w:t xml:space="preserve">Załącznikiem 4 d</w:t>
      </w:r>
      <w:r w:rsidDel="00000000" w:rsidR="00000000" w:rsidRPr="00000000">
        <w:rPr>
          <w:rtl w:val="0"/>
        </w:rPr>
        <w:t xml:space="preserve">o Regulaminu Ramowego, zawiera wskaźniki TRL/BRL, wyniki naukowe i wdrożeniowe, oraz streszczenie osiągniętych rezultatów wdrożeniowych (zgodnie z §9 ust.1 Ramowego).</w:t>
      </w:r>
    </w:p>
    <w:p w:rsidR="00000000" w:rsidDel="00000000" w:rsidP="00000000" w:rsidRDefault="00000000" w:rsidRPr="00000000" w14:paraId="00000035">
      <w:pPr>
        <w:spacing w:after="200" w:line="276.0005454545455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Raport finansowy przygotowuje Dział Księgowości – Zespół naukowy potwierdza zgodność i podpisuje zatwierdzenie.</w:t>
      </w:r>
    </w:p>
    <w:p w:rsidR="00000000" w:rsidDel="00000000" w:rsidP="00000000" w:rsidRDefault="00000000" w:rsidRPr="00000000" w14:paraId="00000036">
      <w:pPr>
        <w:pStyle w:val="Heading2"/>
        <w:spacing w:after="0" w:before="200" w:line="211.05847058823528" w:lineRule="auto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x64y6a2e31c" w:id="11"/>
      <w:bookmarkEnd w:id="11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§6. Własność intelektualna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.0005454545455" w:lineRule="auto"/>
        <w:ind w:left="7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Zasady zarządzania prawami IP regulują:</w:t>
      </w:r>
    </w:p>
    <w:p w:rsidR="00000000" w:rsidDel="00000000" w:rsidP="00000000" w:rsidRDefault="00000000" w:rsidRPr="00000000" w14:paraId="00000039">
      <w:pPr>
        <w:spacing w:after="0" w:line="276.0005454545455" w:lineRule="auto"/>
        <w:ind w:left="106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Regulamin korzystania z wyników pracy intelektualnej powstałych w IGC PAN oraz</w:t>
      </w:r>
    </w:p>
    <w:p w:rsidR="00000000" w:rsidDel="00000000" w:rsidP="00000000" w:rsidRDefault="00000000" w:rsidRPr="00000000" w14:paraId="0000003A">
      <w:pPr>
        <w:spacing w:after="0" w:line="276.0005454545455" w:lineRule="auto"/>
        <w:ind w:left="106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Regulamin zarządzania prawami autorskimi, pokrewnymi i przemysłowymi oraz zasadami komercjalizacji wyników badań. Wszystkie wyniki prac B+R podlegają zgłoszeniu do CTT IGC PAN (§7 Ramowego).</w:t>
      </w:r>
    </w:p>
    <w:p w:rsidR="00000000" w:rsidDel="00000000" w:rsidP="00000000" w:rsidRDefault="00000000" w:rsidRPr="00000000" w14:paraId="0000003B">
      <w:pPr>
        <w:spacing w:after="200" w:line="276.0005454545455" w:lineRule="auto"/>
        <w:ind w:left="7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pStyle w:val="Heading2"/>
        <w:spacing w:after="0" w:before="200" w:line="211.05847058823528" w:lineRule="auto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uvac4f67esxf" w:id="12"/>
      <w:bookmarkEnd w:id="12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§7.Procedura odwoławcza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Procedura odwoławcza odbywa się zgodnie z §10 Regulaminu Ramowego.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after="0" w:before="200" w:line="211.05847058823528" w:lineRule="auto"/>
        <w:jc w:val="center"/>
        <w:rPr/>
      </w:pPr>
      <w:bookmarkStart w:colFirst="0" w:colLast="0" w:name="_heading=h.gsfkowgu98j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spacing w:after="0" w:before="200" w:line="211.05847058823528" w:lineRule="auto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v9fzn2qbr3w3" w:id="14"/>
      <w:bookmarkEnd w:id="14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§8 Role i odpowiedzialności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5"/>
        <w:gridCol w:w="2895"/>
        <w:gridCol w:w="3090"/>
        <w:tblGridChange w:id="0">
          <w:tblGrid>
            <w:gridCol w:w="2895"/>
            <w:gridCol w:w="2895"/>
            <w:gridCol w:w="309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Etap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Odpowiedzialna jednostka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Kluczowe działania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Przygotowanie wniosku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Zespół badawczy + CTT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Opracowanie koncepcji, plan badań, kosztorys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Ocena i rekomendacja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Komitet Inwestycyjny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Ocena naukowo-techniczna i wdrożeniowa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Podpisanie umowy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Dyrektor IGC PAN + Kierownik projektu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Zawarcie umowy o minigrant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Realizacja merytoryczna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Zespół badawczy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Wykonanie zadań zgodnie z planem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00" w:line="276.0005454545455" w:lineRule="auto"/>
              <w:ind w:right="-128.6220472440942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Zakupy i wydatki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Dział Zamówień Publicznych + Dział  Finansowo-Księgowowy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Procedura zamówień i rozliczenia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Raportowanie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Kierownik projektu + Biuro Koordynacji Badań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Kontrola merytoryczna i finansowa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Komercjalizacja 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00" w:line="276.0005454545455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Zgłoszenia patentowe, analizy wdrożeniowe</w:t>
            </w:r>
          </w:p>
        </w:tc>
      </w:tr>
    </w:tbl>
    <w:p w:rsidR="00000000" w:rsidDel="00000000" w:rsidP="00000000" w:rsidRDefault="00000000" w:rsidRPr="00000000" w14:paraId="0000005A">
      <w:pPr>
        <w:pStyle w:val="Heading2"/>
        <w:spacing w:after="0" w:before="200" w:line="211.05847058823528" w:lineRule="auto"/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bookmarkStart w:colFirst="0" w:colLast="0" w:name="_heading=h.w6axqyczszch" w:id="15"/>
      <w:bookmarkEnd w:id="15"/>
      <w:r w:rsidDel="00000000" w:rsidR="00000000" w:rsidRPr="00000000">
        <w:rPr>
          <w:rFonts w:ascii="Calibri" w:cs="Calibri" w:eastAsia="Calibri" w:hAnsi="Calibri"/>
          <w:color w:val="4f81bd"/>
          <w:sz w:val="22"/>
          <w:szCs w:val="22"/>
          <w:rtl w:val="0"/>
        </w:rPr>
        <w:t xml:space="preserve">§7. Schemat blokowy procesu realizacji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="276.0005454545455" w:lineRule="auto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ETAP 1: Ogłoszenie naboru → ETAP 2: Złożenie wniosku → ETAP 3: Ocena formalna i merytoryczna → ETAP 4: Podpisanie umowy → ETAP 5: Realizacja zadań (→ ETAP 6: Raportowanie okresowe → ETAP 7: Raport końcowy i rozliczenie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4f81bd"/>
          <w:rtl w:val="0"/>
        </w:rPr>
        <w:t xml:space="preserve">Załącznik 1. Formularz zmiany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color w:val="4f81bd"/>
        </w:rPr>
      </w:pPr>
      <w:r w:rsidDel="00000000" w:rsidR="00000000" w:rsidRPr="00000000">
        <w:rPr>
          <w:b w:val="1"/>
          <w:bCs w:val="1"/>
          <w:color w:val="4f81bd"/>
          <w:rtl w:val="0"/>
        </w:rPr>
        <w:t xml:space="preserve">Załącznik 2. Wzór miesięcznego raportu merytorycznego.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color w:val="4f81bd"/>
        </w:rPr>
      </w:pPr>
      <w:r w:rsidDel="00000000" w:rsidR="00000000" w:rsidRPr="00000000">
        <w:rPr>
          <w:b w:val="1"/>
          <w:bCs w:val="1"/>
          <w:color w:val="4f81bd"/>
          <w:rtl w:val="0"/>
        </w:rPr>
        <w:t xml:space="preserve">Załącznik 3. Wzór karty pracy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529817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298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5760410" cy="57150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Style w:val="Heading1"/>
      <w:keepNext w:val="0"/>
      <w:keepLines w:val="0"/>
      <w:tabs>
        <w:tab w:val="center" w:leader="none" w:pos="4536"/>
        <w:tab w:val="right" w:leader="none" w:pos="9072"/>
      </w:tabs>
      <w:spacing w:after="0" w:line="168.0002608695652" w:lineRule="auto"/>
      <w:jc w:val="center"/>
      <w:rPr/>
    </w:pPr>
    <w:bookmarkStart w:colFirst="0" w:colLast="0" w:name="_heading=h.sdu1uosfddkz" w:id="16"/>
    <w:bookmarkEnd w:id="16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2C40A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C40A4"/>
  </w:style>
  <w:style w:type="paragraph" w:styleId="Stopka">
    <w:name w:val="footer"/>
    <w:basedOn w:val="Normalny"/>
    <w:link w:val="StopkaZnak"/>
    <w:uiPriority w:val="99"/>
    <w:unhideWhenUsed w:val="1"/>
    <w:rsid w:val="002C40A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C40A4"/>
  </w:style>
  <w:style w:type="character" w:styleId="Nagwek2Znak" w:customStyle="1">
    <w:name w:val="Nagłówek 2 Znak"/>
    <w:basedOn w:val="Domylnaczcionkaakapitu"/>
    <w:link w:val="Nagwek2"/>
    <w:uiPriority w:val="9"/>
    <w:rsid w:val="00A270B2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 w:val="1"/>
    <w:rsid w:val="00A270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 w:val="1"/>
    <w:rsid w:val="00A270B2"/>
    <w:rPr>
      <w:b w:val="1"/>
      <w:bCs w:val="1"/>
    </w:rPr>
  </w:style>
  <w:style w:type="paragraph" w:styleId="Akapitzlist">
    <w:name w:val="List Paragraph"/>
    <w:basedOn w:val="Normalny"/>
    <w:uiPriority w:val="34"/>
    <w:qFormat w:val="1"/>
    <w:rsid w:val="00A270B2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8C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C7F7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C7F75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C7F7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C7F75"/>
    <w:rPr>
      <w:rFonts w:eastAsiaTheme="minorEastAsia"/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C7F7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C7F75"/>
    <w:rPr>
      <w:rFonts w:ascii="Segoe UI" w:cs="Segoe UI" w:hAnsi="Segoe UI" w:eastAsiaTheme="minorEastAsia"/>
      <w:sz w:val="18"/>
      <w:szCs w:val="18"/>
    </w:rPr>
  </w:style>
  <w:style w:type="character" w:styleId="Uwydatnienie">
    <w:name w:val="Emphasis"/>
    <w:basedOn w:val="Domylnaczcionkaakapitu"/>
    <w:uiPriority w:val="20"/>
    <w:qFormat w:val="1"/>
    <w:rsid w:val="001D6ADF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/45AEOzctFJqJyvUV7eqsVs8Q==">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2025-10-01T12:18:00Z</dcterms:created>
  <dc:creator>Lena Siecińska</dc:creator>
</cp:coreProperties>
</file>